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0735A" w14:textId="77777777" w:rsidR="00C27B23" w:rsidRDefault="0048249A">
      <w:pPr>
        <w:pStyle w:val="Titolo"/>
        <w:pageBreakBefore/>
        <w:rPr>
          <w:rFonts w:ascii="Garamond" w:hAnsi="Garamond"/>
          <w:sz w:val="24"/>
          <w:szCs w:val="24"/>
        </w:rPr>
      </w:pPr>
      <w:r w:rsidRPr="009C6FAC">
        <w:rPr>
          <w:rFonts w:ascii="Garamond" w:hAnsi="Garamond"/>
          <w:sz w:val="24"/>
          <w:szCs w:val="24"/>
        </w:rPr>
        <w:t xml:space="preserve">Scheda di sintesi sulla rilevazione degli OIV o </w:t>
      </w:r>
      <w:r w:rsidR="009A5646">
        <w:rPr>
          <w:rFonts w:ascii="Garamond" w:hAnsi="Garamond"/>
          <w:sz w:val="24"/>
          <w:szCs w:val="24"/>
        </w:rPr>
        <w:t>organismi con funzioni analoghe</w:t>
      </w:r>
    </w:p>
    <w:p w14:paraId="606606C1" w14:textId="77777777" w:rsidR="00C27B23" w:rsidRPr="009C6FAC" w:rsidRDefault="00C27B23">
      <w:pPr>
        <w:pStyle w:val="Paragrafoelenco"/>
        <w:ind w:left="0" w:firstLine="0"/>
        <w:rPr>
          <w:rFonts w:ascii="Garamond" w:hAnsi="Garamond"/>
        </w:rPr>
      </w:pPr>
    </w:p>
    <w:p w14:paraId="451E09C2" w14:textId="77777777" w:rsidR="00C27B23" w:rsidRPr="009C6FAC" w:rsidRDefault="0048249A">
      <w:pPr>
        <w:pStyle w:val="Paragrafoelenco"/>
        <w:spacing w:line="360" w:lineRule="auto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>Data di svolgimento della rilevazione</w:t>
      </w:r>
    </w:p>
    <w:p w14:paraId="588A99A2" w14:textId="2A35CD1C" w:rsidR="00C27B23" w:rsidRPr="009C6FAC" w:rsidRDefault="00D23A66" w:rsidP="00D23A66">
      <w:pPr>
        <w:pStyle w:val="Paragrafoelenco"/>
        <w:spacing w:after="240" w:line="276" w:lineRule="auto"/>
        <w:ind w:left="0" w:firstLine="0"/>
        <w:rPr>
          <w:rFonts w:ascii="Garamond" w:hAnsi="Garamond"/>
          <w:u w:val="single"/>
        </w:rPr>
      </w:pPr>
      <w:r>
        <w:rPr>
          <w:rFonts w:ascii="Garamond" w:hAnsi="Garamond"/>
        </w:rPr>
        <w:t>La rilevazione si è svolta dal 06 luglio 2020 al 20 luglio 2020</w:t>
      </w:r>
    </w:p>
    <w:p w14:paraId="7C447546" w14:textId="77777777" w:rsidR="00C27B23" w:rsidRPr="009C6FAC" w:rsidRDefault="0048249A">
      <w:pPr>
        <w:pStyle w:val="Paragrafoelenco"/>
        <w:spacing w:after="0"/>
        <w:ind w:left="0" w:firstLine="0"/>
        <w:rPr>
          <w:rFonts w:ascii="Garamond" w:hAnsi="Garamond"/>
          <w:b/>
          <w:i/>
        </w:rPr>
      </w:pPr>
      <w:r w:rsidRPr="009C6FAC">
        <w:rPr>
          <w:rFonts w:ascii="Garamond" w:hAnsi="Garamond"/>
          <w:b/>
          <w:i/>
        </w:rPr>
        <w:t xml:space="preserve">Estensione della rilevazione (nel </w:t>
      </w:r>
      <w:r w:rsidR="00FC7906">
        <w:rPr>
          <w:rFonts w:ascii="Garamond" w:hAnsi="Garamond"/>
          <w:b/>
          <w:i/>
        </w:rPr>
        <w:t xml:space="preserve">solo </w:t>
      </w:r>
      <w:r w:rsidRPr="009C6FAC">
        <w:rPr>
          <w:rFonts w:ascii="Garamond" w:hAnsi="Garamond"/>
          <w:b/>
          <w:i/>
        </w:rPr>
        <w:t>caso di ammin</w:t>
      </w:r>
      <w:r w:rsidR="007A107C">
        <w:rPr>
          <w:rFonts w:ascii="Garamond" w:hAnsi="Garamond"/>
          <w:b/>
          <w:i/>
        </w:rPr>
        <w:t>istrazioni</w:t>
      </w:r>
      <w:r w:rsidR="00FC7906">
        <w:rPr>
          <w:rFonts w:ascii="Garamond" w:hAnsi="Garamond"/>
          <w:b/>
          <w:i/>
        </w:rPr>
        <w:t>/enti</w:t>
      </w:r>
      <w:r w:rsidR="007A107C">
        <w:rPr>
          <w:rFonts w:ascii="Garamond" w:hAnsi="Garamond"/>
          <w:b/>
          <w:i/>
        </w:rPr>
        <w:t xml:space="preserve"> con uffici periferici)</w:t>
      </w:r>
    </w:p>
    <w:p w14:paraId="69540BAB" w14:textId="77777777" w:rsidR="00C27B23" w:rsidRPr="009C6FAC" w:rsidRDefault="00C27B23">
      <w:pPr>
        <w:pStyle w:val="Paragrafoelenco"/>
        <w:spacing w:after="0"/>
        <w:ind w:left="0" w:firstLine="0"/>
        <w:rPr>
          <w:rFonts w:ascii="Garamond" w:hAnsi="Garamond"/>
          <w:b/>
          <w:u w:val="single"/>
        </w:rPr>
      </w:pPr>
    </w:p>
    <w:p w14:paraId="656EA60D" w14:textId="35B98E4B" w:rsidR="00D23A66" w:rsidRDefault="00D23A66" w:rsidP="00D23A66">
      <w:pPr>
        <w:pStyle w:val="Paragrafoelenco"/>
        <w:spacing w:after="0"/>
        <w:ind w:left="0" w:firstLine="0"/>
      </w:pPr>
      <w:r>
        <w:rPr>
          <w:rFonts w:ascii="Garamond" w:hAnsi="Garamond" w:cs="Times New Roman"/>
          <w:color w:val="000000"/>
        </w:rPr>
        <w:t xml:space="preserve">L'ASP Terre di Castelli - </w:t>
      </w:r>
      <w:r>
        <w:rPr>
          <w:rFonts w:ascii="Garamond" w:hAnsi="Garamond" w:cs="Times New Roman"/>
          <w:i/>
          <w:color w:val="000000"/>
        </w:rPr>
        <w:t>Giorgio Gasparini</w:t>
      </w:r>
      <w:r>
        <w:rPr>
          <w:rFonts w:ascii="Garamond" w:hAnsi="Garamond" w:cs="Times New Roman"/>
          <w:color w:val="000000"/>
        </w:rPr>
        <w:t xml:space="preserve"> non presenta articolazioni o uffici periferici nel senso indicato nei provvedimenti dell’ANAC.  Come previsto dall’allegato alla delibera ANAC n. </w:t>
      </w:r>
      <w:r>
        <w:rPr>
          <w:rFonts w:ascii="Garamond" w:hAnsi="Garamond" w:cs="Times New Roman"/>
          <w:color w:val="000000"/>
        </w:rPr>
        <w:t>213</w:t>
      </w:r>
      <w:r>
        <w:rPr>
          <w:rFonts w:ascii="Garamond" w:hAnsi="Garamond" w:cs="Times New Roman"/>
          <w:color w:val="000000"/>
        </w:rPr>
        <w:t>/20</w:t>
      </w:r>
      <w:r>
        <w:rPr>
          <w:rFonts w:ascii="Garamond" w:hAnsi="Garamond" w:cs="Times New Roman"/>
          <w:color w:val="000000"/>
        </w:rPr>
        <w:t>20</w:t>
      </w:r>
      <w:r>
        <w:rPr>
          <w:rFonts w:ascii="Garamond" w:hAnsi="Garamond" w:cs="Times New Roman"/>
          <w:color w:val="000000"/>
        </w:rPr>
        <w:t xml:space="preserve">, il Nucleo di Valutazione non ha proceduto quindi a compilare il foglio n. 2 della Griglia di rilevazione di cui alla stessa delibera.  </w:t>
      </w:r>
    </w:p>
    <w:p w14:paraId="4339115D" w14:textId="77777777" w:rsidR="00C27B23" w:rsidRPr="009C6FAC" w:rsidRDefault="00C27B23">
      <w:pPr>
        <w:pStyle w:val="Paragrafoelenco"/>
        <w:spacing w:after="0" w:line="276" w:lineRule="auto"/>
        <w:ind w:left="720" w:firstLine="0"/>
        <w:rPr>
          <w:rFonts w:ascii="Garamond" w:hAnsi="Garamond"/>
        </w:rPr>
      </w:pPr>
    </w:p>
    <w:p w14:paraId="2DAD8293" w14:textId="77777777" w:rsidR="00D23A66" w:rsidRDefault="00D23A66" w:rsidP="00D23A66">
      <w:pPr>
        <w:pStyle w:val="Paragrafoelenco"/>
        <w:ind w:left="0" w:firstLine="0"/>
      </w:pPr>
      <w:r>
        <w:rPr>
          <w:rFonts w:ascii="Garamond" w:hAnsi="Garamond"/>
          <w:b/>
          <w:i/>
          <w:u w:val="single"/>
        </w:rPr>
        <w:t>Procedure e modalità seguite per la rilevazione</w:t>
      </w:r>
    </w:p>
    <w:p w14:paraId="74771997" w14:textId="77777777" w:rsidR="00D23A66" w:rsidRDefault="00D23A66" w:rsidP="00D23A66">
      <w:pPr>
        <w:pStyle w:val="Paragrafoelenco"/>
        <w:spacing w:after="0" w:line="276" w:lineRule="auto"/>
        <w:ind w:left="0" w:firstLine="0"/>
        <w:rPr>
          <w:rFonts w:ascii="Garamond" w:hAnsi="Garamond" w:cs="Times New Roman"/>
          <w:color w:val="000000"/>
        </w:rPr>
      </w:pPr>
      <w:r>
        <w:rPr>
          <w:rFonts w:ascii="Garamond" w:hAnsi="Garamond" w:cs="Times New Roman"/>
          <w:color w:val="000000"/>
        </w:rPr>
        <w:t>Per condurre la rilevazione sono state seguite le seguenti modalità:</w:t>
      </w:r>
    </w:p>
    <w:p w14:paraId="181DAE0B" w14:textId="77777777" w:rsidR="00D23A66" w:rsidRDefault="00D23A66" w:rsidP="00D23A66">
      <w:pPr>
        <w:pStyle w:val="Paragrafoelenco"/>
        <w:keepNext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autoSpaceDN w:val="0"/>
        <w:spacing w:after="0" w:line="276" w:lineRule="auto"/>
        <w:ind w:left="284" w:hanging="284"/>
        <w:textAlignment w:val="baseline"/>
      </w:pPr>
      <w:r>
        <w:rPr>
          <w:rFonts w:ascii="Garamond" w:hAnsi="Garamond"/>
        </w:rPr>
        <w:t xml:space="preserve">Verifica dell’attività svolta dal </w:t>
      </w:r>
      <w:r>
        <w:rPr>
          <w:rFonts w:ascii="Garamond" w:hAnsi="Garamond" w:cs="Times New Roman"/>
          <w:color w:val="000000"/>
        </w:rPr>
        <w:t>Responsabile della prevenzione della corruzione e della trasparenza per riscontrare l’adempimento degli obblighi di pubblicazione;</w:t>
      </w:r>
    </w:p>
    <w:p w14:paraId="45AA9CF5" w14:textId="77777777" w:rsidR="00D23A66" w:rsidRDefault="00D23A66" w:rsidP="00D23A66">
      <w:pPr>
        <w:pStyle w:val="Paragrafoelenco"/>
        <w:keepNext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284"/>
        </w:tabs>
        <w:autoSpaceDN w:val="0"/>
        <w:spacing w:line="276" w:lineRule="auto"/>
        <w:ind w:left="0" w:firstLine="0"/>
        <w:textAlignment w:val="baseline"/>
      </w:pPr>
      <w:r>
        <w:rPr>
          <w:rFonts w:ascii="Garamond" w:hAnsi="Garamond" w:cs="Times New Roman"/>
          <w:color w:val="000000"/>
        </w:rPr>
        <w:t>Verifica sul sito istituzionale, anche attraverso l’uso di supporti informatici;</w:t>
      </w:r>
    </w:p>
    <w:p w14:paraId="3D544F5A" w14:textId="77777777" w:rsidR="00D23A66" w:rsidRDefault="00D23A66" w:rsidP="00D23A66">
      <w:pPr>
        <w:pStyle w:val="Paragrafoelenco"/>
        <w:spacing w:line="276" w:lineRule="auto"/>
        <w:ind w:left="0" w:firstLine="0"/>
      </w:pPr>
      <w:r>
        <w:rPr>
          <w:rFonts w:ascii="Garamond" w:hAnsi="Garamond" w:cs="Times New Roman"/>
          <w:color w:val="000000"/>
        </w:rPr>
        <w:t>La verifica in particolare è stata effettuata tramite ispezione diretta sul sito dell'ASP riscontrando i singoli elementi richiesti e confrontandosi con l'ASP sulle parti mancanti e sulle possibili modalità di miglioramento futuro delle informazioni date.</w:t>
      </w:r>
    </w:p>
    <w:p w14:paraId="6674FC32" w14:textId="6CA421DB" w:rsidR="00D23A66" w:rsidRPr="00B77398" w:rsidRDefault="00D23A66" w:rsidP="00D23A66">
      <w:pPr>
        <w:shd w:val="clear" w:color="auto" w:fill="FFFFFF"/>
        <w:rPr>
          <w:rFonts w:ascii="Garamond" w:hAnsi="Garamond" w:cs="Times New Roman"/>
          <w:color w:val="000000"/>
          <w:u w:val="single"/>
        </w:rPr>
      </w:pPr>
      <w:r w:rsidRPr="00B77398">
        <w:rPr>
          <w:rFonts w:ascii="Garamond" w:hAnsi="Garamond" w:cs="Times New Roman"/>
          <w:color w:val="000000"/>
          <w:u w:val="single"/>
        </w:rPr>
        <w:t>Aspetti critici riscontrati nel corso della rilevazione</w:t>
      </w:r>
      <w:r w:rsidR="00B77398">
        <w:rPr>
          <w:rFonts w:ascii="Garamond" w:hAnsi="Garamond" w:cs="Times New Roman"/>
          <w:color w:val="000000"/>
          <w:u w:val="single"/>
        </w:rPr>
        <w:t>:</w:t>
      </w:r>
    </w:p>
    <w:p w14:paraId="15B9240E" w14:textId="6647D430" w:rsidR="00D23A66" w:rsidRDefault="00D23A66" w:rsidP="00D23A66">
      <w:pPr>
        <w:pStyle w:val="Paragrafoelenco"/>
        <w:keepNext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N w:val="0"/>
        <w:spacing w:after="60" w:line="240" w:lineRule="auto"/>
        <w:ind w:left="284" w:hanging="284"/>
        <w:textAlignment w:val="baseline"/>
      </w:pPr>
      <w:r>
        <w:rPr>
          <w:rFonts w:ascii="Garamond" w:hAnsi="Garamond" w:cs="Times New Roman"/>
          <w:color w:val="000000"/>
        </w:rPr>
        <w:t xml:space="preserve">nella sottosezione di primo livello </w:t>
      </w:r>
      <w:r w:rsidR="00A92F4D">
        <w:rPr>
          <w:rFonts w:ascii="Garamond" w:hAnsi="Garamond" w:cs="Times New Roman"/>
          <w:b/>
          <w:i/>
          <w:color w:val="000000"/>
        </w:rPr>
        <w:t>Consulenti e Collaboratori</w:t>
      </w:r>
      <w:r>
        <w:rPr>
          <w:rFonts w:ascii="Garamond" w:hAnsi="Garamond" w:cs="Times New Roman"/>
          <w:color w:val="000000"/>
        </w:rPr>
        <w:t>, sottosezion</w:t>
      </w:r>
      <w:r w:rsidR="00A92F4D">
        <w:rPr>
          <w:rFonts w:ascii="Garamond" w:hAnsi="Garamond" w:cs="Times New Roman"/>
          <w:color w:val="000000"/>
        </w:rPr>
        <w:t>e</w:t>
      </w:r>
      <w:r>
        <w:rPr>
          <w:rFonts w:ascii="Garamond" w:hAnsi="Garamond" w:cs="Times New Roman"/>
          <w:color w:val="000000"/>
        </w:rPr>
        <w:t xml:space="preserve"> di secondo livello </w:t>
      </w:r>
      <w:r w:rsidR="00A92F4D">
        <w:rPr>
          <w:rFonts w:ascii="Garamond" w:hAnsi="Garamond" w:cs="Times New Roman"/>
          <w:i/>
          <w:color w:val="000000"/>
        </w:rPr>
        <w:t>Titolari di Incarichi di collaborazione o consulenza</w:t>
      </w:r>
      <w:r>
        <w:rPr>
          <w:rFonts w:ascii="Garamond" w:hAnsi="Garamond" w:cs="Times New Roman"/>
          <w:color w:val="000000"/>
        </w:rPr>
        <w:t xml:space="preserve"> si evidenzia che le sezioni risultano </w:t>
      </w:r>
      <w:r w:rsidR="00A92F4D">
        <w:rPr>
          <w:rFonts w:ascii="Garamond" w:hAnsi="Garamond" w:cs="Times New Roman"/>
          <w:color w:val="000000"/>
        </w:rPr>
        <w:t xml:space="preserve">parzialmente </w:t>
      </w:r>
      <w:r>
        <w:rPr>
          <w:rFonts w:ascii="Garamond" w:hAnsi="Garamond" w:cs="Times New Roman"/>
          <w:color w:val="000000"/>
        </w:rPr>
        <w:t>aggiornate</w:t>
      </w:r>
      <w:r w:rsidR="00A92F4D">
        <w:rPr>
          <w:rFonts w:ascii="Garamond" w:hAnsi="Garamond" w:cs="Times New Roman"/>
          <w:color w:val="000000"/>
        </w:rPr>
        <w:t xml:space="preserve"> e complete</w:t>
      </w:r>
      <w:r>
        <w:rPr>
          <w:rFonts w:ascii="Garamond" w:hAnsi="Garamond" w:cs="Times New Roman"/>
          <w:color w:val="000000"/>
        </w:rPr>
        <w:t>;</w:t>
      </w:r>
    </w:p>
    <w:p w14:paraId="7AA8E401" w14:textId="512AAFD3" w:rsidR="00D23A66" w:rsidRDefault="00D23A66" w:rsidP="00D23A66">
      <w:pPr>
        <w:pStyle w:val="Paragrafoelenco"/>
        <w:keepNext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N w:val="0"/>
        <w:spacing w:after="60" w:line="240" w:lineRule="auto"/>
        <w:ind w:left="284" w:hanging="284"/>
        <w:textAlignment w:val="baseline"/>
      </w:pPr>
      <w:r>
        <w:rPr>
          <w:rFonts w:ascii="Garamond" w:hAnsi="Garamond" w:cs="Times New Roman"/>
          <w:color w:val="000000"/>
        </w:rPr>
        <w:t xml:space="preserve">nella sottosezione di primo livello </w:t>
      </w:r>
      <w:r>
        <w:rPr>
          <w:rFonts w:ascii="Garamond" w:hAnsi="Garamond" w:cs="Times New Roman"/>
          <w:b/>
          <w:i/>
          <w:color w:val="000000"/>
        </w:rPr>
        <w:t>B</w:t>
      </w:r>
      <w:r w:rsidR="00A92F4D">
        <w:rPr>
          <w:rFonts w:ascii="Garamond" w:hAnsi="Garamond" w:cs="Times New Roman"/>
          <w:b/>
          <w:i/>
          <w:color w:val="000000"/>
        </w:rPr>
        <w:t>andi di Concorso</w:t>
      </w:r>
      <w:r>
        <w:rPr>
          <w:rFonts w:ascii="Garamond" w:hAnsi="Garamond" w:cs="Times New Roman"/>
          <w:color w:val="000000"/>
        </w:rPr>
        <w:t>,</w:t>
      </w:r>
      <w:r w:rsidR="00A92F4D" w:rsidRPr="00A92F4D">
        <w:rPr>
          <w:rFonts w:ascii="Garamond" w:hAnsi="Garamond" w:cs="Times New Roman"/>
          <w:color w:val="000000"/>
        </w:rPr>
        <w:t xml:space="preserve"> </w:t>
      </w:r>
      <w:r w:rsidR="00A92F4D">
        <w:rPr>
          <w:rFonts w:ascii="Garamond" w:hAnsi="Garamond" w:cs="Times New Roman"/>
          <w:color w:val="000000"/>
        </w:rPr>
        <w:t xml:space="preserve">si evidenzia che le sezioni risultano aggiornate </w:t>
      </w:r>
      <w:r w:rsidR="00A92F4D">
        <w:rPr>
          <w:rFonts w:ascii="Garamond" w:hAnsi="Garamond" w:cs="Times New Roman"/>
          <w:color w:val="000000"/>
        </w:rPr>
        <w:t>e i dati e le informazioni correttamente pubblicate. Da completare il contenuto rispetto a quanto richiesto dalla disposizione normativa relativamente alle tracce delle prove e lo scorrimento dell</w:t>
      </w:r>
      <w:r w:rsidR="00B77398">
        <w:rPr>
          <w:rFonts w:ascii="Garamond" w:hAnsi="Garamond" w:cs="Times New Roman"/>
          <w:color w:val="000000"/>
        </w:rPr>
        <w:t xml:space="preserve">e </w:t>
      </w:r>
      <w:r w:rsidR="00A92F4D">
        <w:rPr>
          <w:rFonts w:ascii="Garamond" w:hAnsi="Garamond" w:cs="Times New Roman"/>
          <w:color w:val="000000"/>
        </w:rPr>
        <w:t>graduatorie</w:t>
      </w:r>
      <w:r>
        <w:rPr>
          <w:rFonts w:ascii="Garamond" w:hAnsi="Garamond" w:cs="Times New Roman"/>
          <w:color w:val="000000"/>
        </w:rPr>
        <w:t>;</w:t>
      </w:r>
    </w:p>
    <w:p w14:paraId="5F8FE02D" w14:textId="77777777" w:rsidR="00A92F4D" w:rsidRPr="00A92F4D" w:rsidRDefault="00D23A66" w:rsidP="00D23A66">
      <w:pPr>
        <w:pStyle w:val="Paragrafoelenco"/>
        <w:keepNext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N w:val="0"/>
        <w:spacing w:after="60" w:line="240" w:lineRule="auto"/>
        <w:ind w:left="284" w:hanging="284"/>
        <w:textAlignment w:val="baseline"/>
      </w:pPr>
      <w:r>
        <w:rPr>
          <w:rFonts w:ascii="Garamond" w:hAnsi="Garamond" w:cs="Times New Roman"/>
          <w:color w:val="000000"/>
        </w:rPr>
        <w:t xml:space="preserve">nella sottosezione di primo livello </w:t>
      </w:r>
      <w:r w:rsidR="00A92F4D">
        <w:rPr>
          <w:rFonts w:ascii="Garamond" w:hAnsi="Garamond" w:cs="Times New Roman"/>
          <w:b/>
          <w:color w:val="000000"/>
        </w:rPr>
        <w:t>Attività e Procedimenti:</w:t>
      </w:r>
    </w:p>
    <w:p w14:paraId="3C400009" w14:textId="64CD5B6C" w:rsidR="00D23A66" w:rsidRPr="00A92F4D" w:rsidRDefault="00D23A66" w:rsidP="00A92F4D">
      <w:pPr>
        <w:pStyle w:val="Paragrafoelenco"/>
        <w:keepNext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N w:val="0"/>
        <w:spacing w:after="60" w:line="240" w:lineRule="auto"/>
        <w:textAlignment w:val="baseline"/>
      </w:pPr>
      <w:r>
        <w:rPr>
          <w:rFonts w:ascii="Garamond" w:hAnsi="Garamond" w:cs="Times New Roman"/>
          <w:color w:val="000000"/>
        </w:rPr>
        <w:t xml:space="preserve"> sottosezione di secondo livello </w:t>
      </w:r>
      <w:r w:rsidR="00A92F4D">
        <w:rPr>
          <w:rFonts w:ascii="Garamond" w:hAnsi="Garamond" w:cs="Times New Roman"/>
          <w:i/>
          <w:color w:val="000000"/>
        </w:rPr>
        <w:t>tipologie di Procedimento</w:t>
      </w:r>
      <w:r>
        <w:rPr>
          <w:rFonts w:ascii="Garamond" w:hAnsi="Garamond" w:cs="Times New Roman"/>
          <w:color w:val="000000"/>
        </w:rPr>
        <w:t>”, manca</w:t>
      </w:r>
      <w:r w:rsidR="00A92F4D">
        <w:rPr>
          <w:rFonts w:ascii="Garamond" w:hAnsi="Garamond" w:cs="Times New Roman"/>
          <w:color w:val="000000"/>
        </w:rPr>
        <w:t xml:space="preserve"> l’adeguatezza del formato; i dati risultano parzialmente pubblicati; i dati risultano non completi nel contenuto</w:t>
      </w:r>
      <w:r w:rsidR="00B77398">
        <w:rPr>
          <w:rFonts w:ascii="Garamond" w:hAnsi="Garamond" w:cs="Times New Roman"/>
          <w:color w:val="000000"/>
        </w:rPr>
        <w:t>.</w:t>
      </w:r>
      <w:r w:rsidR="00A92F4D">
        <w:rPr>
          <w:rFonts w:ascii="Garamond" w:hAnsi="Garamond" w:cs="Times New Roman"/>
          <w:color w:val="000000"/>
        </w:rPr>
        <w:t xml:space="preserve"> Per i procedimenti di istanza di parte l’obbligo è in massima parte rispettato</w:t>
      </w:r>
      <w:r>
        <w:rPr>
          <w:rFonts w:ascii="Garamond" w:hAnsi="Garamond" w:cs="Times New Roman"/>
          <w:color w:val="000000"/>
        </w:rPr>
        <w:t>;</w:t>
      </w:r>
    </w:p>
    <w:p w14:paraId="641A8FEA" w14:textId="6F59A927" w:rsidR="00A92F4D" w:rsidRPr="00B77398" w:rsidRDefault="00A92F4D" w:rsidP="00A92F4D">
      <w:pPr>
        <w:pStyle w:val="Paragrafoelenco"/>
        <w:keepNext w:val="0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N w:val="0"/>
        <w:spacing w:after="60" w:line="240" w:lineRule="auto"/>
        <w:textAlignment w:val="baseline"/>
      </w:pPr>
      <w:r>
        <w:rPr>
          <w:rFonts w:ascii="Garamond" w:hAnsi="Garamond" w:cs="Times New Roman"/>
          <w:color w:val="000000"/>
        </w:rPr>
        <w:t>Sottosezione di secondo livello</w:t>
      </w:r>
      <w:r w:rsidR="003520C6">
        <w:rPr>
          <w:rFonts w:ascii="Garamond" w:hAnsi="Garamond" w:cs="Times New Roman"/>
          <w:color w:val="000000"/>
        </w:rPr>
        <w:t xml:space="preserve"> </w:t>
      </w:r>
      <w:r w:rsidR="003520C6">
        <w:rPr>
          <w:rFonts w:ascii="Garamond" w:hAnsi="Garamond" w:cs="Times New Roman"/>
          <w:i/>
          <w:iCs/>
          <w:color w:val="000000"/>
        </w:rPr>
        <w:t>Dichiarazioni sostitutive e dichiarazione d’ufficio dei dati</w:t>
      </w:r>
      <w:r w:rsidR="00E30A7F">
        <w:rPr>
          <w:rFonts w:ascii="Garamond" w:hAnsi="Garamond" w:cs="Times New Roman"/>
          <w:i/>
          <w:iCs/>
          <w:color w:val="000000"/>
        </w:rPr>
        <w:t xml:space="preserve">: </w:t>
      </w:r>
      <w:r w:rsidR="00650C7B" w:rsidRPr="00E30A7F">
        <w:rPr>
          <w:rFonts w:ascii="Garamond" w:hAnsi="Garamond" w:cs="Times New Roman"/>
          <w:color w:val="000000"/>
        </w:rPr>
        <w:t xml:space="preserve">i dati sono completi per effetto del rinvio </w:t>
      </w:r>
      <w:r w:rsidR="00E30A7F">
        <w:rPr>
          <w:rFonts w:ascii="Garamond" w:hAnsi="Garamond" w:cs="Times New Roman"/>
          <w:color w:val="000000"/>
        </w:rPr>
        <w:t>ad altra sezione, seppur generica</w:t>
      </w:r>
      <w:r w:rsidR="00B77398">
        <w:rPr>
          <w:rFonts w:ascii="Garamond" w:hAnsi="Garamond" w:cs="Times New Roman"/>
          <w:color w:val="000000"/>
        </w:rPr>
        <w:t>;</w:t>
      </w:r>
    </w:p>
    <w:p w14:paraId="5DBB223F" w14:textId="77777777" w:rsidR="00B77398" w:rsidRPr="00E30A7F" w:rsidRDefault="00B77398" w:rsidP="00B77398">
      <w:pPr>
        <w:pStyle w:val="Paragrafoelenco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N w:val="0"/>
        <w:spacing w:after="60" w:line="240" w:lineRule="auto"/>
        <w:ind w:left="1004" w:firstLine="0"/>
        <w:textAlignment w:val="baseline"/>
      </w:pPr>
    </w:p>
    <w:p w14:paraId="75BBA0BD" w14:textId="77777777" w:rsidR="00B77398" w:rsidRPr="00B77398" w:rsidRDefault="00E30A7F" w:rsidP="00B77398">
      <w:pPr>
        <w:pStyle w:val="Paragrafoelenco"/>
        <w:keepNext w:val="0"/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60" w:line="240" w:lineRule="auto"/>
        <w:ind w:left="284" w:hanging="284"/>
        <w:textAlignment w:val="baseline"/>
      </w:pPr>
      <w:r>
        <w:rPr>
          <w:rFonts w:ascii="Garamond" w:eastAsia="Calibri" w:hAnsi="Garamond" w:cs="Times New Roman"/>
          <w:color w:val="000000"/>
          <w:lang w:eastAsia="en-US"/>
        </w:rPr>
        <w:lastRenderedPageBreak/>
        <w:t xml:space="preserve">Nella sottosezione di primo livello </w:t>
      </w:r>
      <w:r w:rsidRPr="00B77398">
        <w:rPr>
          <w:rFonts w:ascii="Garamond" w:eastAsia="Calibri" w:hAnsi="Garamond" w:cs="Times New Roman"/>
          <w:b/>
          <w:bCs/>
          <w:color w:val="000000"/>
          <w:lang w:eastAsia="en-US"/>
        </w:rPr>
        <w:t>Servizi erogati</w:t>
      </w:r>
      <w:r w:rsidR="00B77398">
        <w:rPr>
          <w:rFonts w:ascii="Garamond" w:eastAsia="Calibri" w:hAnsi="Garamond" w:cs="Times New Roman"/>
          <w:color w:val="000000"/>
          <w:lang w:eastAsia="en-US"/>
        </w:rPr>
        <w:t>:</w:t>
      </w:r>
    </w:p>
    <w:p w14:paraId="74D29E69" w14:textId="17B72D35" w:rsidR="00B77398" w:rsidRPr="00B77398" w:rsidRDefault="00B77398" w:rsidP="00B77398">
      <w:pPr>
        <w:pStyle w:val="Paragrafoelenco"/>
        <w:keepNext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autoSpaceDN w:val="0"/>
        <w:spacing w:after="60" w:line="240" w:lineRule="auto"/>
        <w:textAlignment w:val="baseline"/>
      </w:pPr>
      <w:r w:rsidRPr="00B77398">
        <w:rPr>
          <w:rFonts w:ascii="Garamond" w:hAnsi="Garamond" w:cs="Times New Roman"/>
          <w:color w:val="000000"/>
        </w:rPr>
        <w:t>sottosezion</w:t>
      </w:r>
      <w:r>
        <w:rPr>
          <w:rFonts w:ascii="Garamond" w:hAnsi="Garamond" w:cs="Times New Roman"/>
          <w:color w:val="000000"/>
        </w:rPr>
        <w:t>i</w:t>
      </w:r>
      <w:r w:rsidRPr="00B77398">
        <w:rPr>
          <w:rFonts w:ascii="Garamond" w:hAnsi="Garamond" w:cs="Times New Roman"/>
          <w:color w:val="000000"/>
        </w:rPr>
        <w:t xml:space="preserve"> di secondo livello </w:t>
      </w:r>
      <w:r>
        <w:rPr>
          <w:rFonts w:ascii="Garamond" w:hAnsi="Garamond" w:cs="Times New Roman"/>
          <w:i/>
          <w:color w:val="000000"/>
        </w:rPr>
        <w:t xml:space="preserve">Servizi in rete, </w:t>
      </w:r>
      <w:r>
        <w:rPr>
          <w:rFonts w:ascii="Garamond" w:hAnsi="Garamond" w:cs="Times New Roman"/>
          <w:iCs/>
          <w:color w:val="000000"/>
        </w:rPr>
        <w:t>manca il rinvio alla non effettuazione di indagini;</w:t>
      </w:r>
    </w:p>
    <w:p w14:paraId="490F64A4" w14:textId="09D770C5" w:rsidR="00B77398" w:rsidRDefault="00B77398" w:rsidP="00B77398">
      <w:pPr>
        <w:pStyle w:val="Paragrafoelenco"/>
        <w:keepNext w:val="0"/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200" w:line="276" w:lineRule="auto"/>
        <w:textAlignment w:val="baseline"/>
      </w:pPr>
      <w:r w:rsidRPr="00B77398">
        <w:rPr>
          <w:rFonts w:ascii="Garamond" w:hAnsi="Garamond" w:cs="Times New Roman"/>
          <w:iCs/>
          <w:color w:val="000000"/>
        </w:rPr>
        <w:t xml:space="preserve">sottosezione di secondo livello </w:t>
      </w:r>
      <w:r w:rsidRPr="00B77398">
        <w:rPr>
          <w:rFonts w:ascii="Garamond" w:hAnsi="Garamond" w:cs="Times New Roman"/>
          <w:i/>
          <w:color w:val="000000"/>
        </w:rPr>
        <w:t xml:space="preserve">Liste di attesa </w:t>
      </w:r>
      <w:r w:rsidRPr="00B77398">
        <w:rPr>
          <w:rFonts w:ascii="Garamond" w:hAnsi="Garamond" w:cs="Times New Roman"/>
          <w:color w:val="000000"/>
        </w:rPr>
        <w:t>si precisa che l’ASP non gestisce direttamente l’accesso ai propri servizi, quindi non ha liste di attesa</w:t>
      </w:r>
      <w:r w:rsidRPr="00B77398">
        <w:rPr>
          <w:rFonts w:ascii="Garamond" w:hAnsi="Garamond" w:cs="Times New Roman"/>
          <w:color w:val="000000"/>
        </w:rPr>
        <w:t xml:space="preserve"> e si è indicato</w:t>
      </w:r>
      <w:r w:rsidRPr="00B77398">
        <w:rPr>
          <w:rFonts w:ascii="Garamond" w:eastAsia="Calibri" w:hAnsi="Garamond" w:cs="Times New Roman"/>
          <w:color w:val="000000"/>
          <w:lang w:eastAsia="en-US"/>
        </w:rPr>
        <w:t xml:space="preserve"> </w:t>
      </w:r>
      <w:r>
        <w:rPr>
          <w:rFonts w:ascii="Garamond" w:eastAsia="Calibri" w:hAnsi="Garamond" w:cs="Times New Roman"/>
          <w:color w:val="000000"/>
          <w:lang w:eastAsia="en-US"/>
        </w:rPr>
        <w:t>“</w:t>
      </w:r>
      <w:r w:rsidRPr="00B77398">
        <w:rPr>
          <w:rFonts w:ascii="Garamond" w:eastAsia="Calibri" w:hAnsi="Garamond" w:cs="Times New Roman"/>
          <w:color w:val="000000"/>
          <w:lang w:eastAsia="en-US"/>
        </w:rPr>
        <w:t>n/a”, come coerentemente indicato in Amministrazione Trasparente.</w:t>
      </w:r>
    </w:p>
    <w:p w14:paraId="24E35FC2" w14:textId="5DAEB195" w:rsidR="00D23A66" w:rsidRDefault="00D23A66" w:rsidP="00D23A66">
      <w:pPr>
        <w:pStyle w:val="Paragrafoelenco"/>
        <w:keepNext w:val="0"/>
        <w:numPr>
          <w:ilvl w:val="0"/>
          <w:numId w:val="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autoSpaceDN w:val="0"/>
        <w:spacing w:after="200" w:line="276" w:lineRule="auto"/>
        <w:ind w:left="284" w:hanging="284"/>
        <w:textAlignment w:val="baseline"/>
      </w:pPr>
      <w:r>
        <w:rPr>
          <w:rFonts w:ascii="Garamond" w:eastAsia="Calibri" w:hAnsi="Garamond" w:cs="Times New Roman"/>
          <w:color w:val="000000"/>
          <w:lang w:eastAsia="en-US"/>
        </w:rPr>
        <w:t xml:space="preserve">Si precisa infine che per le sottosezioni di primo livello </w:t>
      </w:r>
      <w:r w:rsidR="00B77398">
        <w:rPr>
          <w:rFonts w:ascii="Garamond" w:eastAsia="Calibri" w:hAnsi="Garamond" w:cs="Times New Roman"/>
          <w:b/>
          <w:i/>
          <w:color w:val="000000"/>
          <w:lang w:eastAsia="en-US"/>
        </w:rPr>
        <w:t xml:space="preserve">Informazioni ambientali </w:t>
      </w:r>
      <w:r>
        <w:rPr>
          <w:rFonts w:ascii="Garamond" w:eastAsia="Calibri" w:hAnsi="Garamond" w:cs="Times New Roman"/>
          <w:color w:val="000000"/>
          <w:lang w:eastAsia="en-US"/>
        </w:rPr>
        <w:t xml:space="preserve">si è indicato </w:t>
      </w:r>
      <w:r w:rsidR="00B77398">
        <w:rPr>
          <w:rFonts w:ascii="Garamond" w:eastAsia="Calibri" w:hAnsi="Garamond" w:cs="Times New Roman"/>
          <w:color w:val="000000"/>
          <w:lang w:eastAsia="en-US"/>
        </w:rPr>
        <w:t>“</w:t>
      </w:r>
      <w:r>
        <w:rPr>
          <w:rFonts w:ascii="Garamond" w:eastAsia="Calibri" w:hAnsi="Garamond" w:cs="Times New Roman"/>
          <w:color w:val="000000"/>
          <w:lang w:eastAsia="en-US"/>
        </w:rPr>
        <w:t>n/a</w:t>
      </w:r>
      <w:r w:rsidR="00B77398">
        <w:rPr>
          <w:rFonts w:ascii="Garamond" w:eastAsia="Calibri" w:hAnsi="Garamond" w:cs="Times New Roman"/>
          <w:color w:val="000000"/>
          <w:lang w:eastAsia="en-US"/>
        </w:rPr>
        <w:t>”</w:t>
      </w:r>
      <w:r>
        <w:rPr>
          <w:rFonts w:ascii="Garamond" w:eastAsia="Calibri" w:hAnsi="Garamond" w:cs="Times New Roman"/>
          <w:color w:val="000000"/>
          <w:lang w:eastAsia="en-US"/>
        </w:rPr>
        <w:t xml:space="preserve"> in quanto l’A</w:t>
      </w:r>
      <w:r w:rsidR="00B77398">
        <w:rPr>
          <w:rFonts w:ascii="Garamond" w:eastAsia="Calibri" w:hAnsi="Garamond" w:cs="Times New Roman"/>
          <w:color w:val="000000"/>
          <w:lang w:eastAsia="en-US"/>
        </w:rPr>
        <w:t>SP</w:t>
      </w:r>
      <w:r>
        <w:rPr>
          <w:rFonts w:ascii="Garamond" w:eastAsia="Calibri" w:hAnsi="Garamond" w:cs="Times New Roman"/>
          <w:color w:val="000000"/>
          <w:lang w:eastAsia="en-US"/>
        </w:rPr>
        <w:t xml:space="preserve"> non è né titolare né gestore dei relativi servizi, come coerentemente indicato in Amministrazione Trasparente.</w:t>
      </w:r>
    </w:p>
    <w:p w14:paraId="41DD5132" w14:textId="77777777" w:rsidR="00D23A66" w:rsidRDefault="00D23A66" w:rsidP="00D23A66">
      <w:pPr>
        <w:pStyle w:val="NormaleWeb"/>
        <w:spacing w:after="0"/>
        <w:jc w:val="both"/>
      </w:pPr>
      <w:r>
        <w:rPr>
          <w:rFonts w:ascii="Garamond" w:eastAsia="Calibri" w:hAnsi="Garamond" w:cs="Times New Roman"/>
          <w:color w:val="000000"/>
          <w:lang w:eastAsia="en-US"/>
        </w:rPr>
        <w:t>La carenza dei dati verrà tempestivamente sanata e la pagina “</w:t>
      </w:r>
      <w:r>
        <w:rPr>
          <w:rFonts w:ascii="Garamond" w:eastAsia="Calibri" w:hAnsi="Garamond" w:cs="Times New Roman"/>
          <w:b/>
          <w:color w:val="000000"/>
          <w:lang w:eastAsia="en-US"/>
        </w:rPr>
        <w:t>Amministrazione Trasparente</w:t>
      </w:r>
      <w:r>
        <w:rPr>
          <w:rFonts w:ascii="Garamond" w:eastAsia="Calibri" w:hAnsi="Garamond" w:cs="Times New Roman"/>
          <w:color w:val="000000"/>
          <w:lang w:eastAsia="en-US"/>
        </w:rPr>
        <w:t>” sarà implementata e aggiornata coerentemente alle disposizioni di legge.</w:t>
      </w:r>
    </w:p>
    <w:p w14:paraId="6280BC16" w14:textId="77777777" w:rsidR="00D23A66" w:rsidRDefault="00D23A66" w:rsidP="00D23A66">
      <w:pPr>
        <w:pStyle w:val="Default"/>
        <w:jc w:val="both"/>
        <w:rPr>
          <w:rFonts w:ascii="Garamond" w:hAnsi="Garamond"/>
        </w:rPr>
      </w:pPr>
    </w:p>
    <w:p w14:paraId="7FBC786C" w14:textId="77777777" w:rsidR="00D23A66" w:rsidRDefault="00D23A66" w:rsidP="00D23A66">
      <w:r>
        <w:rPr>
          <w:rFonts w:ascii="Garamond" w:eastAsia="Calibri" w:hAnsi="Garamond" w:cs="Times New Roman"/>
          <w:color w:val="000000"/>
          <w:lang w:eastAsia="en-US"/>
        </w:rPr>
        <w:t xml:space="preserve">Eventuale documentazione da allegare: </w:t>
      </w:r>
      <w:r>
        <w:rPr>
          <w:rFonts w:ascii="Garamond" w:eastAsia="Calibri" w:hAnsi="Garamond" w:cs="Times New Roman"/>
          <w:color w:val="000000"/>
          <w:u w:val="single"/>
          <w:lang w:eastAsia="en-US"/>
        </w:rPr>
        <w:t>Nessuna</w:t>
      </w:r>
      <w:r>
        <w:rPr>
          <w:rFonts w:ascii="Garamond" w:eastAsia="Calibri" w:hAnsi="Garamond" w:cs="Times New Roman"/>
          <w:color w:val="000000"/>
          <w:lang w:eastAsia="en-US"/>
        </w:rPr>
        <w:t>.</w:t>
      </w:r>
    </w:p>
    <w:p w14:paraId="7C64BEAB" w14:textId="77777777" w:rsidR="00D23A66" w:rsidRDefault="00D23A66" w:rsidP="00D23A66">
      <w:pPr>
        <w:pStyle w:val="Default"/>
        <w:spacing w:line="276" w:lineRule="auto"/>
        <w:jc w:val="both"/>
        <w:rPr>
          <w:rFonts w:ascii="Garamond" w:hAnsi="Garamond"/>
        </w:rPr>
      </w:pPr>
    </w:p>
    <w:p w14:paraId="3FF394A4" w14:textId="0E3B9056" w:rsidR="00D23A66" w:rsidRDefault="00D23A66" w:rsidP="00D23A66">
      <w:pPr>
        <w:pStyle w:val="Default"/>
        <w:spacing w:line="276" w:lineRule="auto"/>
        <w:jc w:val="both"/>
      </w:pPr>
      <w:r>
        <w:rPr>
          <w:rFonts w:ascii="Garamond" w:eastAsia="Times New Roman" w:hAnsi="Garamond"/>
        </w:rPr>
        <w:t xml:space="preserve">Vignola,  </w:t>
      </w:r>
      <w:r>
        <w:rPr>
          <w:rFonts w:ascii="Garamond" w:eastAsia="Times New Roman" w:hAnsi="Garamond"/>
        </w:rPr>
        <w:t xml:space="preserve">                  </w:t>
      </w:r>
      <w:r>
        <w:rPr>
          <w:rFonts w:ascii="Garamond" w:eastAsia="Times New Roman" w:hAnsi="Garamond"/>
        </w:rPr>
        <w:t xml:space="preserve">                                                                           p.   </w:t>
      </w:r>
      <w:r>
        <w:rPr>
          <w:rFonts w:ascii="Garamond" w:hAnsi="Garamond"/>
        </w:rPr>
        <w:t>Il Nucleo di Valutazione</w:t>
      </w:r>
    </w:p>
    <w:p w14:paraId="7E9A2E6B" w14:textId="77777777" w:rsidR="00D23A66" w:rsidRDefault="00D23A66" w:rsidP="00D23A66">
      <w:pPr>
        <w:pStyle w:val="Default"/>
        <w:spacing w:line="276" w:lineRule="auto"/>
        <w:jc w:val="both"/>
        <w:rPr>
          <w:rFonts w:ascii="Garamond" w:hAnsi="Garamond"/>
        </w:rPr>
      </w:pPr>
      <w:r>
        <w:rPr>
          <w:rFonts w:ascii="Garamond" w:hAnsi="Garamond"/>
        </w:rPr>
        <w:t xml:space="preserve">                                                                                                                   Il componente esterno</w:t>
      </w:r>
    </w:p>
    <w:p w14:paraId="7BF3ACB6" w14:textId="77777777" w:rsidR="00D23A66" w:rsidRDefault="00D23A66" w:rsidP="00D23A66">
      <w:pPr>
        <w:pStyle w:val="Default"/>
        <w:spacing w:line="276" w:lineRule="auto"/>
        <w:jc w:val="both"/>
      </w:pPr>
      <w:r>
        <w:rPr>
          <w:rFonts w:ascii="Garamond" w:hAnsi="Garamond"/>
        </w:rPr>
        <w:t xml:space="preserve">                                                                                                                      </w:t>
      </w:r>
      <w:r>
        <w:rPr>
          <w:rFonts w:ascii="Garamond" w:hAnsi="Garamond"/>
          <w:i/>
        </w:rPr>
        <w:t>Dott. Vito Piccinni</w:t>
      </w:r>
    </w:p>
    <w:p w14:paraId="4E35CD69" w14:textId="77777777" w:rsidR="00D23A66" w:rsidRDefault="00D23A66" w:rsidP="00D23A66">
      <w:pPr>
        <w:pStyle w:val="Default"/>
        <w:spacing w:line="276" w:lineRule="auto"/>
        <w:jc w:val="both"/>
      </w:pPr>
    </w:p>
    <w:p w14:paraId="73CD0A87" w14:textId="28CE8460" w:rsidR="00C27B23" w:rsidRPr="009C6FAC" w:rsidRDefault="00C27B23" w:rsidP="00D23A66">
      <w:pPr>
        <w:spacing w:line="360" w:lineRule="auto"/>
        <w:rPr>
          <w:rFonts w:ascii="Garamond" w:hAnsi="Garamond"/>
          <w:b/>
          <w:i/>
        </w:rPr>
      </w:pPr>
    </w:p>
    <w:sectPr w:rsidR="00C27B23" w:rsidRPr="009C6FAC" w:rsidSect="00D23A66">
      <w:headerReference w:type="default" r:id="rId7"/>
      <w:headerReference w:type="first" r:id="rId8"/>
      <w:footerReference w:type="first" r:id="rId9"/>
      <w:pgSz w:w="11906" w:h="16838" w:code="9"/>
      <w:pgMar w:top="1134" w:right="1134" w:bottom="1134" w:left="1134" w:header="284" w:footer="17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1C4A55D" w14:textId="77777777" w:rsidR="0060106A" w:rsidRDefault="0060106A">
      <w:pPr>
        <w:spacing w:after="0" w:line="240" w:lineRule="auto"/>
      </w:pPr>
      <w:r>
        <w:separator/>
      </w:r>
    </w:p>
  </w:endnote>
  <w:endnote w:type="continuationSeparator" w:id="0">
    <w:p w14:paraId="360F8A49" w14:textId="77777777" w:rsidR="0060106A" w:rsidRDefault="006010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781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3500"/>
      <w:gridCol w:w="3020"/>
    </w:tblGrid>
    <w:tr w:rsidR="00D23A66" w:rsidRPr="007971B8" w14:paraId="2DC7604F" w14:textId="77777777" w:rsidTr="005F3A47">
      <w:trPr>
        <w:trHeight w:val="193"/>
      </w:trPr>
      <w:tc>
        <w:tcPr>
          <w:tcW w:w="3261" w:type="dxa"/>
          <w:shd w:val="clear" w:color="auto" w:fill="auto"/>
          <w:vAlign w:val="center"/>
        </w:tcPr>
        <w:p w14:paraId="6F547A62" w14:textId="77777777" w:rsidR="00D23A66" w:rsidRPr="007971B8" w:rsidRDefault="00D23A66" w:rsidP="00D23A66">
          <w:pPr>
            <w:spacing w:after="0" w:line="240" w:lineRule="auto"/>
            <w:rPr>
              <w:rFonts w:ascii="Tahoma" w:eastAsia="Tahoma" w:hAnsi="Tahoma"/>
              <w:color w:val="004876"/>
              <w:sz w:val="16"/>
              <w:szCs w:val="16"/>
            </w:rPr>
          </w:pPr>
          <w:r w:rsidRPr="007971B8">
            <w:rPr>
              <w:rFonts w:ascii="Tahoma" w:eastAsia="Tahoma" w:hAnsi="Tahoma"/>
              <w:color w:val="004876"/>
              <w:sz w:val="16"/>
              <w:szCs w:val="16"/>
            </w:rPr>
            <w:t>ASP TERRE DI CASTELLI</w:t>
          </w:r>
        </w:p>
      </w:tc>
      <w:tc>
        <w:tcPr>
          <w:tcW w:w="3500" w:type="dxa"/>
          <w:shd w:val="clear" w:color="auto" w:fill="auto"/>
          <w:vAlign w:val="center"/>
        </w:tcPr>
        <w:p w14:paraId="16E7EB67" w14:textId="77777777" w:rsidR="00D23A66" w:rsidRPr="007971B8" w:rsidRDefault="00D23A66" w:rsidP="00D23A66">
          <w:pPr>
            <w:spacing w:after="0" w:line="240" w:lineRule="auto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Via Libertà 823 </w:t>
          </w:r>
        </w:p>
      </w:tc>
      <w:tc>
        <w:tcPr>
          <w:tcW w:w="3020" w:type="dxa"/>
          <w:shd w:val="clear" w:color="auto" w:fill="auto"/>
          <w:vAlign w:val="center"/>
        </w:tcPr>
        <w:p w14:paraId="5A3E942D" w14:textId="77777777" w:rsidR="00D23A66" w:rsidRPr="007971B8" w:rsidRDefault="00D23A66" w:rsidP="00D23A66">
          <w:pPr>
            <w:spacing w:after="0" w:line="240" w:lineRule="auto"/>
            <w:ind w:left="1031" w:right="-1718"/>
            <w:rPr>
              <w:rFonts w:ascii="Tahoma" w:eastAsia="Tahoma" w:hAnsi="Tahoma"/>
              <w:b/>
              <w:color w:val="004876"/>
              <w:sz w:val="16"/>
            </w:rPr>
          </w:pPr>
          <w:r>
            <w:rPr>
              <w:rFonts w:ascii="Tahoma" w:eastAsia="Tahoma" w:hAnsi="Tahoma"/>
              <w:b/>
              <w:color w:val="004876"/>
              <w:sz w:val="16"/>
            </w:rPr>
            <w:t>Contattaci</w:t>
          </w:r>
        </w:p>
      </w:tc>
    </w:tr>
    <w:tr w:rsidR="00D23A66" w:rsidRPr="007971B8" w14:paraId="40BC272E" w14:textId="77777777" w:rsidTr="005F3A47">
      <w:trPr>
        <w:trHeight w:val="187"/>
      </w:trPr>
      <w:tc>
        <w:tcPr>
          <w:tcW w:w="3261" w:type="dxa"/>
          <w:shd w:val="clear" w:color="auto" w:fill="auto"/>
          <w:vAlign w:val="center"/>
        </w:tcPr>
        <w:p w14:paraId="54C687FF" w14:textId="77777777" w:rsidR="00D23A66" w:rsidRPr="007971B8" w:rsidRDefault="00D23A66" w:rsidP="00D23A66">
          <w:pPr>
            <w:spacing w:after="0" w:line="240" w:lineRule="auto"/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>iorgio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Gasparini</w:t>
          </w:r>
        </w:p>
      </w:tc>
      <w:tc>
        <w:tcPr>
          <w:tcW w:w="3500" w:type="dxa"/>
          <w:shd w:val="clear" w:color="auto" w:fill="auto"/>
          <w:vAlign w:val="center"/>
        </w:tcPr>
        <w:p w14:paraId="5F5C1E8C" w14:textId="77777777" w:rsidR="00D23A66" w:rsidRPr="007971B8" w:rsidRDefault="00D23A66" w:rsidP="00D23A66">
          <w:pPr>
            <w:spacing w:after="0" w:line="240" w:lineRule="auto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41058 Vignola (MO)</w:t>
          </w:r>
        </w:p>
      </w:tc>
      <w:tc>
        <w:tcPr>
          <w:tcW w:w="3020" w:type="dxa"/>
          <w:shd w:val="clear" w:color="auto" w:fill="auto"/>
          <w:vAlign w:val="center"/>
        </w:tcPr>
        <w:p w14:paraId="6C0CC3B0" w14:textId="77777777" w:rsidR="00D23A66" w:rsidRPr="007971B8" w:rsidRDefault="00D23A66" w:rsidP="00D23A66">
          <w:pPr>
            <w:spacing w:after="0" w:line="240" w:lineRule="auto"/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PEC aspvignola@pec.it</w:t>
          </w:r>
        </w:p>
      </w:tc>
    </w:tr>
    <w:tr w:rsidR="00D23A66" w:rsidRPr="007971B8" w14:paraId="0D723DE7" w14:textId="77777777" w:rsidTr="005F3A47">
      <w:trPr>
        <w:trHeight w:val="182"/>
      </w:trPr>
      <w:tc>
        <w:tcPr>
          <w:tcW w:w="3261" w:type="dxa"/>
          <w:vMerge w:val="restart"/>
          <w:shd w:val="clear" w:color="auto" w:fill="auto"/>
          <w:vAlign w:val="center"/>
        </w:tcPr>
        <w:p w14:paraId="0D37ED73" w14:textId="77777777" w:rsidR="00D23A66" w:rsidRPr="000F6598" w:rsidRDefault="00D23A66" w:rsidP="00D23A66">
          <w:pPr>
            <w:spacing w:after="0" w:line="240" w:lineRule="auto"/>
            <w:rPr>
              <w:rFonts w:ascii="Tahoma" w:eastAsia="Tahoma" w:hAnsi="Tahoma"/>
              <w:color w:val="004876"/>
              <w:sz w:val="12"/>
              <w:szCs w:val="12"/>
            </w:rPr>
          </w:pP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Enti soci: 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Unione Terre di Castelli e Comuni di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Castelnuovo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Rangone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 xml:space="preserve"> Castelvetro</w:t>
          </w:r>
          <w:r>
            <w:rPr>
              <w:rFonts w:ascii="Tahoma" w:eastAsia="Tahoma" w:hAnsi="Tahoma"/>
              <w:color w:val="004876"/>
              <w:sz w:val="12"/>
              <w:szCs w:val="12"/>
            </w:rPr>
            <w:t xml:space="preserve"> di Modena </w:t>
          </w:r>
          <w:r w:rsidRPr="007971B8">
            <w:rPr>
              <w:rFonts w:ascii="Tahoma" w:eastAsia="Tahoma" w:hAnsi="Tahoma"/>
              <w:color w:val="004876"/>
              <w:sz w:val="12"/>
              <w:szCs w:val="12"/>
            </w:rPr>
            <w:t>Guiglia Marano sul Panaro Montese Savignano sul Panaro Spilamberto Vignola Zocca</w:t>
          </w:r>
        </w:p>
      </w:tc>
      <w:tc>
        <w:tcPr>
          <w:tcW w:w="3500" w:type="dxa"/>
          <w:shd w:val="clear" w:color="auto" w:fill="auto"/>
          <w:vAlign w:val="center"/>
        </w:tcPr>
        <w:p w14:paraId="359D112C" w14:textId="77777777" w:rsidR="00D23A66" w:rsidRPr="007971B8" w:rsidRDefault="00D23A66" w:rsidP="00D23A66">
          <w:pPr>
            <w:spacing w:after="0" w:line="240" w:lineRule="auto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P.IVA 03099960365</w:t>
          </w:r>
        </w:p>
      </w:tc>
      <w:tc>
        <w:tcPr>
          <w:tcW w:w="3020" w:type="dxa"/>
          <w:shd w:val="clear" w:color="auto" w:fill="auto"/>
          <w:vAlign w:val="center"/>
        </w:tcPr>
        <w:p w14:paraId="65A887E5" w14:textId="77777777" w:rsidR="00D23A66" w:rsidRPr="007971B8" w:rsidRDefault="00D23A66" w:rsidP="00D23A66">
          <w:pPr>
            <w:spacing w:after="0" w:line="240" w:lineRule="auto"/>
            <w:ind w:left="1031" w:right="-300"/>
            <w:rPr>
              <w:rFonts w:ascii="Tahoma" w:eastAsia="Tahoma" w:hAnsi="Tahoma" w:cs="Tahoma"/>
              <w:color w:val="004876"/>
              <w:sz w:val="14"/>
              <w:szCs w:val="14"/>
            </w:rPr>
          </w:pPr>
          <w:r>
            <w:rPr>
              <w:rFonts w:ascii="Tahoma" w:eastAsia="Tahoma" w:hAnsi="Tahoma" w:cs="Tahoma"/>
              <w:color w:val="004876"/>
              <w:sz w:val="14"/>
              <w:szCs w:val="14"/>
            </w:rPr>
            <w:t>Mail info</w:t>
          </w:r>
          <w:r w:rsidRPr="007971B8">
            <w:rPr>
              <w:rFonts w:ascii="Tahoma" w:eastAsia="Tahoma" w:hAnsi="Tahoma" w:cs="Tahoma"/>
              <w:color w:val="004876"/>
              <w:sz w:val="14"/>
              <w:szCs w:val="14"/>
            </w:rPr>
            <w:t>@aspvignola.mo.it</w:t>
          </w:r>
        </w:p>
      </w:tc>
    </w:tr>
    <w:tr w:rsidR="00D23A66" w:rsidRPr="007971B8" w14:paraId="4B4DB8B7" w14:textId="77777777" w:rsidTr="005F3A47">
      <w:trPr>
        <w:trHeight w:val="192"/>
      </w:trPr>
      <w:tc>
        <w:tcPr>
          <w:tcW w:w="3261" w:type="dxa"/>
          <w:vMerge/>
          <w:shd w:val="clear" w:color="auto" w:fill="auto"/>
        </w:tcPr>
        <w:p w14:paraId="72BD74FF" w14:textId="77777777" w:rsidR="00D23A66" w:rsidRPr="007971B8" w:rsidRDefault="00D23A66" w:rsidP="00D23A66">
          <w:pPr>
            <w:spacing w:after="0" w:line="240" w:lineRule="auto"/>
            <w:rPr>
              <w:rFonts w:ascii="Tahoma" w:eastAsia="Tahoma" w:hAnsi="Tahoma"/>
              <w:color w:val="004876"/>
              <w:sz w:val="12"/>
              <w:szCs w:val="12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693E4FAC" w14:textId="77777777" w:rsidR="00D23A66" w:rsidRPr="007971B8" w:rsidRDefault="00D23A66" w:rsidP="00D23A66">
          <w:pPr>
            <w:spacing w:after="0" w:line="240" w:lineRule="auto"/>
            <w:ind w:left="989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www.aspvignola.mo.it</w:t>
          </w:r>
        </w:p>
      </w:tc>
      <w:tc>
        <w:tcPr>
          <w:tcW w:w="3020" w:type="dxa"/>
          <w:shd w:val="clear" w:color="auto" w:fill="auto"/>
          <w:vAlign w:val="center"/>
        </w:tcPr>
        <w:p w14:paraId="16836F33" w14:textId="77777777" w:rsidR="00D23A66" w:rsidRPr="007971B8" w:rsidRDefault="00D23A66" w:rsidP="00D23A66">
          <w:pPr>
            <w:spacing w:after="0" w:line="240" w:lineRule="auto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 xml:space="preserve">Tel 059 770 </w:t>
          </w:r>
          <w:r>
            <w:rPr>
              <w:rFonts w:ascii="Tahoma" w:eastAsia="Tahoma" w:hAnsi="Tahoma"/>
              <w:color w:val="004876"/>
              <w:sz w:val="14"/>
            </w:rPr>
            <w:t>5211</w:t>
          </w:r>
        </w:p>
      </w:tc>
    </w:tr>
    <w:tr w:rsidR="00D23A66" w:rsidRPr="007971B8" w14:paraId="1024460B" w14:textId="77777777" w:rsidTr="005F3A47">
      <w:trPr>
        <w:trHeight w:val="192"/>
      </w:trPr>
      <w:tc>
        <w:tcPr>
          <w:tcW w:w="3261" w:type="dxa"/>
          <w:vMerge/>
          <w:shd w:val="clear" w:color="auto" w:fill="auto"/>
          <w:vAlign w:val="center"/>
        </w:tcPr>
        <w:p w14:paraId="7FB41F5D" w14:textId="77777777" w:rsidR="00D23A66" w:rsidRPr="007971B8" w:rsidRDefault="00D23A66" w:rsidP="00D23A66">
          <w:pPr>
            <w:spacing w:after="0" w:line="240" w:lineRule="auto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3C243FA7" w14:textId="77777777" w:rsidR="00D23A66" w:rsidRPr="007971B8" w:rsidRDefault="00D23A66" w:rsidP="00D23A66">
          <w:pPr>
            <w:spacing w:after="0" w:line="240" w:lineRule="auto"/>
            <w:ind w:left="847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55AAAFBA" w14:textId="77777777" w:rsidR="00D23A66" w:rsidRPr="007971B8" w:rsidRDefault="00D23A66" w:rsidP="00D23A66">
          <w:pPr>
            <w:spacing w:after="0" w:line="240" w:lineRule="auto"/>
            <w:ind w:left="1031"/>
            <w:rPr>
              <w:rFonts w:ascii="Tahoma" w:eastAsia="Tahoma" w:hAnsi="Tahoma"/>
              <w:color w:val="004876"/>
              <w:sz w:val="14"/>
            </w:rPr>
          </w:pPr>
          <w:r w:rsidRPr="007971B8">
            <w:rPr>
              <w:rFonts w:ascii="Tahoma" w:eastAsia="Tahoma" w:hAnsi="Tahoma"/>
              <w:color w:val="004876"/>
              <w:sz w:val="14"/>
            </w:rPr>
            <w:t>Fax 059 770 5200</w:t>
          </w:r>
        </w:p>
      </w:tc>
    </w:tr>
    <w:tr w:rsidR="00D23A66" w:rsidRPr="007971B8" w14:paraId="4EED6D0E" w14:textId="77777777" w:rsidTr="005F3A47">
      <w:trPr>
        <w:trHeight w:val="202"/>
      </w:trPr>
      <w:tc>
        <w:tcPr>
          <w:tcW w:w="3261" w:type="dxa"/>
          <w:vMerge/>
          <w:shd w:val="clear" w:color="auto" w:fill="auto"/>
          <w:vAlign w:val="center"/>
        </w:tcPr>
        <w:p w14:paraId="5A9FD4CF" w14:textId="77777777" w:rsidR="00D23A66" w:rsidRPr="007971B8" w:rsidRDefault="00D23A66" w:rsidP="00D23A66">
          <w:pPr>
            <w:spacing w:after="0" w:line="240" w:lineRule="auto"/>
            <w:rPr>
              <w:rFonts w:ascii="Tahoma" w:eastAsia="Tahoma" w:hAnsi="Tahoma"/>
              <w:color w:val="004876"/>
              <w:sz w:val="14"/>
            </w:rPr>
          </w:pPr>
        </w:p>
      </w:tc>
      <w:tc>
        <w:tcPr>
          <w:tcW w:w="3500" w:type="dxa"/>
          <w:shd w:val="clear" w:color="auto" w:fill="auto"/>
          <w:vAlign w:val="center"/>
        </w:tcPr>
        <w:p w14:paraId="40B3E79C" w14:textId="77777777" w:rsidR="00D23A66" w:rsidRPr="007971B8" w:rsidRDefault="00D23A66" w:rsidP="00D23A66">
          <w:pPr>
            <w:spacing w:after="0" w:line="240" w:lineRule="auto"/>
            <w:rPr>
              <w:color w:val="004876"/>
              <w:sz w:val="17"/>
            </w:rPr>
          </w:pPr>
        </w:p>
      </w:tc>
      <w:tc>
        <w:tcPr>
          <w:tcW w:w="3020" w:type="dxa"/>
          <w:shd w:val="clear" w:color="auto" w:fill="auto"/>
          <w:vAlign w:val="center"/>
        </w:tcPr>
        <w:p w14:paraId="50C9206A" w14:textId="77777777" w:rsidR="00D23A66" w:rsidRPr="007971B8" w:rsidRDefault="00D23A66" w:rsidP="00D23A66">
          <w:pPr>
            <w:spacing w:after="0" w:line="240" w:lineRule="auto"/>
            <w:ind w:left="1031"/>
            <w:rPr>
              <w:rFonts w:ascii="Tahoma" w:eastAsia="Tahoma" w:hAnsi="Tahoma"/>
              <w:color w:val="004876"/>
              <w:sz w:val="14"/>
            </w:rPr>
          </w:pPr>
        </w:p>
      </w:tc>
    </w:tr>
  </w:tbl>
  <w:p w14:paraId="4E3B3A58" w14:textId="77777777" w:rsidR="00C32BE7" w:rsidRDefault="00C32BE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19D8D4" w14:textId="77777777" w:rsidR="0060106A" w:rsidRDefault="0060106A">
      <w:pPr>
        <w:spacing w:after="0" w:line="240" w:lineRule="auto"/>
      </w:pPr>
      <w:r>
        <w:separator/>
      </w:r>
    </w:p>
  </w:footnote>
  <w:footnote w:type="continuationSeparator" w:id="0">
    <w:p w14:paraId="61415ECA" w14:textId="77777777" w:rsidR="0060106A" w:rsidRDefault="006010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D45350" w14:textId="77777777" w:rsidR="00C27B23" w:rsidRPr="006E496C" w:rsidRDefault="0048249A" w:rsidP="006E496C">
    <w:pPr>
      <w:pStyle w:val="Intestazione"/>
      <w:jc w:val="right"/>
      <w:rPr>
        <w:rFonts w:ascii="Garamond" w:hAnsi="Garamond" w:cs="Times New Roman"/>
        <w:b/>
      </w:rPr>
    </w:pPr>
    <w:r w:rsidRPr="006E496C">
      <w:rPr>
        <w:rFonts w:ascii="Garamond" w:hAnsi="Garamond"/>
        <w:b/>
      </w:rPr>
      <w:t xml:space="preserve">Allegato 3 alla </w:t>
    </w:r>
    <w:r w:rsidRPr="006E496C">
      <w:rPr>
        <w:rFonts w:ascii="Garamond" w:hAnsi="Garamond" w:cs="Times New Roman"/>
        <w:b/>
      </w:rPr>
      <w:t>delibera</w:t>
    </w:r>
    <w:r w:rsidR="004833D5">
      <w:rPr>
        <w:rFonts w:ascii="Garamond" w:hAnsi="Garamond" w:cs="Times New Roman"/>
        <w:b/>
      </w:rPr>
      <w:t xml:space="preserve"> ANAC</w:t>
    </w:r>
    <w:r w:rsidRPr="006E496C">
      <w:rPr>
        <w:rFonts w:ascii="Garamond" w:hAnsi="Garamond" w:cs="Times New Roman"/>
        <w:b/>
      </w:rPr>
      <w:t xml:space="preserve"> n. </w:t>
    </w:r>
    <w:r w:rsidR="00C32BE7">
      <w:rPr>
        <w:rFonts w:ascii="Garamond" w:hAnsi="Garamond" w:cs="Times New Roman"/>
        <w:b/>
      </w:rPr>
      <w:t>213</w:t>
    </w:r>
    <w:r w:rsidRPr="006E496C">
      <w:rPr>
        <w:rFonts w:ascii="Garamond" w:hAnsi="Garamond" w:cs="Times New Roman"/>
        <w:b/>
      </w:rPr>
      <w:t>/</w:t>
    </w:r>
    <w:r w:rsidR="009C05D1">
      <w:rPr>
        <w:rFonts w:ascii="Garamond" w:hAnsi="Garamond" w:cs="Times New Roman"/>
        <w:b/>
      </w:rPr>
      <w:t>2020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85570A" w14:textId="33EBF318" w:rsidR="00C32BE7" w:rsidRDefault="00D23A66">
    <w:pPr>
      <w:pStyle w:val="Intestazione"/>
    </w:pPr>
    <w:r>
      <w:rPr>
        <w:noProof/>
      </w:rPr>
      <w:drawing>
        <wp:inline distT="0" distB="0" distL="0" distR="0" wp14:anchorId="1BCE08DA" wp14:editId="28E9FF18">
          <wp:extent cx="716280" cy="1927860"/>
          <wp:effectExtent l="0" t="0" r="762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280" cy="1927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23B8B"/>
    <w:multiLevelType w:val="multilevel"/>
    <w:tmpl w:val="F47E2540"/>
    <w:lvl w:ilvl="0">
      <w:numFmt w:val="bullet"/>
      <w:lvlText w:val="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222B02D7"/>
    <w:multiLevelType w:val="multilevel"/>
    <w:tmpl w:val="5624384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1"/>
        </w:tabs>
        <w:ind w:left="2161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1"/>
        </w:tabs>
        <w:ind w:left="6481" w:firstLine="0"/>
      </w:pPr>
    </w:lvl>
  </w:abstractNum>
  <w:abstractNum w:abstractNumId="2" w15:restartNumberingAfterBreak="0">
    <w:nsid w:val="2EA07CAE"/>
    <w:multiLevelType w:val="multilevel"/>
    <w:tmpl w:val="F96C53E4"/>
    <w:lvl w:ilvl="0">
      <w:numFmt w:val="bullet"/>
      <w:lvlText w:val=""/>
      <w:lvlJc w:val="left"/>
      <w:pPr>
        <w:ind w:left="77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5" w:hanging="360"/>
      </w:pPr>
      <w:rPr>
        <w:rFonts w:ascii="Wingdings" w:hAnsi="Wingdings"/>
      </w:rPr>
    </w:lvl>
  </w:abstractNum>
  <w:abstractNum w:abstractNumId="3" w15:restartNumberingAfterBreak="0">
    <w:nsid w:val="3E981BA1"/>
    <w:multiLevelType w:val="multilevel"/>
    <w:tmpl w:val="42B6B57E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4" w15:restartNumberingAfterBreak="0">
    <w:nsid w:val="45F75DAF"/>
    <w:multiLevelType w:val="hybridMultilevel"/>
    <w:tmpl w:val="B99E977C"/>
    <w:lvl w:ilvl="0" w:tplc="68D04F32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A1090E"/>
    <w:multiLevelType w:val="multilevel"/>
    <w:tmpl w:val="39CEE8F6"/>
    <w:lvl w:ilvl="0">
      <w:numFmt w:val="bullet"/>
      <w:lvlText w:val="o"/>
      <w:lvlJc w:val="left"/>
      <w:pPr>
        <w:ind w:left="781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50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1" w:hanging="360"/>
      </w:pPr>
      <w:rPr>
        <w:rFonts w:ascii="Wingdings" w:hAnsi="Wingdings"/>
      </w:rPr>
    </w:lvl>
  </w:abstractNum>
  <w:abstractNum w:abstractNumId="6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5D4679C"/>
    <w:multiLevelType w:val="hybridMultilevel"/>
    <w:tmpl w:val="33DE349C"/>
    <w:lvl w:ilvl="0" w:tplc="68D04F32">
      <w:start w:val="1"/>
      <w:numFmt w:val="bullet"/>
      <w:lvlText w:val="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6E271FD1"/>
    <w:multiLevelType w:val="multilevel"/>
    <w:tmpl w:val="7346B92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7B274FF9"/>
    <w:multiLevelType w:val="hybridMultilevel"/>
    <w:tmpl w:val="4CD022FC"/>
    <w:lvl w:ilvl="0" w:tplc="77CA1D2A">
      <w:start w:val="3"/>
      <w:numFmt w:val="bullet"/>
      <w:lvlText w:val="-"/>
      <w:lvlJc w:val="left"/>
      <w:pPr>
        <w:ind w:left="720" w:hanging="360"/>
      </w:pPr>
      <w:rPr>
        <w:rFonts w:ascii="Garamond" w:eastAsia="Times New Roman" w:hAnsi="Garamond" w:cs="Cambri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EA1264"/>
    <w:multiLevelType w:val="multilevel"/>
    <w:tmpl w:val="59A0B496"/>
    <w:lvl w:ilvl="0">
      <w:numFmt w:val="bullet"/>
      <w:lvlText w:val=""/>
      <w:lvlJc w:val="left"/>
      <w:pPr>
        <w:ind w:left="775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9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1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3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5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7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9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1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35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9"/>
  </w:num>
  <w:num w:numId="5">
    <w:abstractNumId w:val="8"/>
  </w:num>
  <w:num w:numId="6">
    <w:abstractNumId w:val="0"/>
  </w:num>
  <w:num w:numId="7">
    <w:abstractNumId w:val="5"/>
  </w:num>
  <w:num w:numId="8">
    <w:abstractNumId w:val="10"/>
  </w:num>
  <w:num w:numId="9">
    <w:abstractNumId w:val="7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B23"/>
    <w:rsid w:val="0016468A"/>
    <w:rsid w:val="0024134D"/>
    <w:rsid w:val="002C572E"/>
    <w:rsid w:val="003520C6"/>
    <w:rsid w:val="003E1CF5"/>
    <w:rsid w:val="0048249A"/>
    <w:rsid w:val="004833D5"/>
    <w:rsid w:val="004F18CD"/>
    <w:rsid w:val="0060106A"/>
    <w:rsid w:val="00650C7B"/>
    <w:rsid w:val="00667221"/>
    <w:rsid w:val="006E496C"/>
    <w:rsid w:val="007052EA"/>
    <w:rsid w:val="00713BFD"/>
    <w:rsid w:val="007A107C"/>
    <w:rsid w:val="00837860"/>
    <w:rsid w:val="00861FE1"/>
    <w:rsid w:val="008A0378"/>
    <w:rsid w:val="00955140"/>
    <w:rsid w:val="009A5646"/>
    <w:rsid w:val="009C05D1"/>
    <w:rsid w:val="009C6FAC"/>
    <w:rsid w:val="00A52DF7"/>
    <w:rsid w:val="00A92F4D"/>
    <w:rsid w:val="00AF790D"/>
    <w:rsid w:val="00B77398"/>
    <w:rsid w:val="00C27B23"/>
    <w:rsid w:val="00C32BE7"/>
    <w:rsid w:val="00D23A66"/>
    <w:rsid w:val="00D27496"/>
    <w:rsid w:val="00E30A7F"/>
    <w:rsid w:val="00FC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E9A7FE"/>
  <w15:docId w15:val="{56CB1834-868F-432B-9D79-8EB178F1D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2"/>
      <w:sz w:val="14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itoloCarattere">
    <w:name w:val="Titolo Carattere"/>
    <w:basedOn w:val="Carpredefinitoparagrafo"/>
    <w:rPr>
      <w:rFonts w:ascii="Times New Roman" w:eastAsia="Times New Roman" w:hAnsi="Times New Roman" w:cs="Times New Roman"/>
      <w:b/>
      <w:bCs/>
      <w:i/>
      <w:sz w:val="36"/>
      <w:szCs w:val="32"/>
      <w:lang w:eastAsia="ar-SA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WWCharLFO13LVL1">
    <w:name w:val="WW_CharLFO13LVL1"/>
    <w:rPr>
      <w:rFonts w:ascii="Times New Roman" w:eastAsia="Times New Roman" w:hAnsi="Times New Roman" w:cs="Times New Roman"/>
    </w:rPr>
  </w:style>
  <w:style w:type="character" w:customStyle="1" w:styleId="WWCharLFO13LVL2">
    <w:name w:val="WW_CharLFO13LVL2"/>
    <w:rPr>
      <w:rFonts w:ascii="Courier New" w:hAnsi="Courier New" w:cs="Courier New"/>
    </w:rPr>
  </w:style>
  <w:style w:type="character" w:customStyle="1" w:styleId="WWCharLFO13LVL3">
    <w:name w:val="WW_CharLFO13LVL3"/>
    <w:rPr>
      <w:rFonts w:ascii="Wingdings" w:hAnsi="Wingdings"/>
    </w:rPr>
  </w:style>
  <w:style w:type="character" w:customStyle="1" w:styleId="WWCharLFO13LVL4">
    <w:name w:val="WW_CharLFO13LVL4"/>
    <w:rPr>
      <w:rFonts w:ascii="Symbol" w:hAnsi="Symbol"/>
    </w:rPr>
  </w:style>
  <w:style w:type="character" w:customStyle="1" w:styleId="WWCharLFO13LVL5">
    <w:name w:val="WW_CharLFO13LVL5"/>
    <w:rPr>
      <w:rFonts w:ascii="Courier New" w:hAnsi="Courier New" w:cs="Courier New"/>
    </w:rPr>
  </w:style>
  <w:style w:type="character" w:customStyle="1" w:styleId="WWCharLFO13LVL6">
    <w:name w:val="WW_CharLFO13LVL6"/>
    <w:rPr>
      <w:rFonts w:ascii="Wingdings" w:hAnsi="Wingdings"/>
    </w:rPr>
  </w:style>
  <w:style w:type="character" w:customStyle="1" w:styleId="WWCharLFO13LVL7">
    <w:name w:val="WW_CharLFO13LVL7"/>
    <w:rPr>
      <w:rFonts w:ascii="Symbol" w:hAnsi="Symbol"/>
    </w:rPr>
  </w:style>
  <w:style w:type="character" w:customStyle="1" w:styleId="WWCharLFO13LVL8">
    <w:name w:val="WW_CharLFO13LVL8"/>
    <w:rPr>
      <w:rFonts w:ascii="Courier New" w:hAnsi="Courier New" w:cs="Courier New"/>
    </w:rPr>
  </w:style>
  <w:style w:type="character" w:customStyle="1" w:styleId="WWCharLFO13LVL9">
    <w:name w:val="WW_CharLFO13LVL9"/>
    <w:rPr>
      <w:rFonts w:ascii="Wingdings" w:hAnsi="Wingdings"/>
    </w:rPr>
  </w:style>
  <w:style w:type="character" w:customStyle="1" w:styleId="WWCharLFO15LVL1">
    <w:name w:val="WW_CharLFO15LVL1"/>
    <w:rPr>
      <w:rFonts w:ascii="Times New Roman" w:eastAsia="Calibri" w:hAnsi="Times New Roman" w:cs="Times New Roman"/>
      <w:sz w:val="20"/>
    </w:rPr>
  </w:style>
  <w:style w:type="character" w:customStyle="1" w:styleId="WWCharLFO15LVL2">
    <w:name w:val="WW_CharLFO15LVL2"/>
    <w:rPr>
      <w:rFonts w:ascii="Courier New" w:hAnsi="Courier New" w:cs="Courier New"/>
    </w:rPr>
  </w:style>
  <w:style w:type="character" w:customStyle="1" w:styleId="WWCharLFO15LVL3">
    <w:name w:val="WW_CharLFO15LVL3"/>
    <w:rPr>
      <w:rFonts w:ascii="Wingdings" w:hAnsi="Wingdings"/>
    </w:rPr>
  </w:style>
  <w:style w:type="character" w:customStyle="1" w:styleId="WWCharLFO15LVL4">
    <w:name w:val="WW_CharLFO15LVL4"/>
    <w:rPr>
      <w:rFonts w:ascii="Symbol" w:hAnsi="Symbol"/>
    </w:rPr>
  </w:style>
  <w:style w:type="character" w:customStyle="1" w:styleId="WWCharLFO15LVL5">
    <w:name w:val="WW_CharLFO15LVL5"/>
    <w:rPr>
      <w:rFonts w:ascii="Courier New" w:hAnsi="Courier New" w:cs="Courier New"/>
    </w:rPr>
  </w:style>
  <w:style w:type="character" w:customStyle="1" w:styleId="WWCharLFO15LVL6">
    <w:name w:val="WW_CharLFO15LVL6"/>
    <w:rPr>
      <w:rFonts w:ascii="Wingdings" w:hAnsi="Wingdings"/>
    </w:rPr>
  </w:style>
  <w:style w:type="character" w:customStyle="1" w:styleId="WWCharLFO15LVL7">
    <w:name w:val="WW_CharLFO15LVL7"/>
    <w:rPr>
      <w:rFonts w:ascii="Symbol" w:hAnsi="Symbol"/>
    </w:rPr>
  </w:style>
  <w:style w:type="character" w:customStyle="1" w:styleId="WWCharLFO15LVL8">
    <w:name w:val="WW_CharLFO15LVL8"/>
    <w:rPr>
      <w:rFonts w:ascii="Courier New" w:hAnsi="Courier New" w:cs="Courier New"/>
    </w:rPr>
  </w:style>
  <w:style w:type="character" w:customStyle="1" w:styleId="WWCharLFO15LVL9">
    <w:name w:val="WW_CharLFO15LVL9"/>
    <w:rPr>
      <w:rFonts w:ascii="Wingdings" w:hAnsi="Wingdings"/>
    </w:rPr>
  </w:style>
  <w:style w:type="character" w:customStyle="1" w:styleId="Caratteredellanota">
    <w:name w:val="Carattere della not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itolo">
    <w:name w:val="Title"/>
    <w:basedOn w:val="Normale"/>
    <w:next w:val="Normale"/>
    <w:autoRedefine/>
    <w:pPr>
      <w:numPr>
        <w:numId w:val="1"/>
      </w:numPr>
      <w:spacing w:before="240" w:after="240"/>
      <w:jc w:val="center"/>
      <w:outlineLvl w:val="0"/>
    </w:pPr>
    <w:rPr>
      <w:rFonts w:cs="Times New Roman"/>
      <w:b/>
      <w:bCs/>
      <w:i/>
      <w:sz w:val="36"/>
      <w:szCs w:val="32"/>
    </w:rPr>
  </w:style>
  <w:style w:type="paragraph" w:customStyle="1" w:styleId="Corpodeltesto">
    <w:name w:val="Corpo del testo"/>
    <w:basedOn w:val="Normale"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customStyle="1" w:styleId="Default">
    <w:name w:val="Default"/>
    <w:pPr>
      <w:keepNext/>
      <w:pBdr>
        <w:top w:val="nil"/>
        <w:left w:val="nil"/>
        <w:bottom w:val="nil"/>
        <w:right w:val="nil"/>
      </w:pBdr>
      <w:suppressAutoHyphens/>
      <w:autoSpaceDE w:val="0"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23A66"/>
    <w:pPr>
      <w:keepNext w:val="0"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uppressAutoHyphens w:val="0"/>
      <w:autoSpaceDN w:val="0"/>
      <w:spacing w:before="100" w:after="119" w:line="240" w:lineRule="auto"/>
      <w:jc w:val="left"/>
    </w:pPr>
    <w:rPr>
      <w:rFonts w:ascii="Arial Unicode MS" w:eastAsia="Arial Unicode MS" w:hAnsi="Arial Unicode MS" w:cs="Arial Unicode MS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i.siciliani</dc:creator>
  <cp:lastModifiedBy>Paola Covili</cp:lastModifiedBy>
  <cp:revision>5</cp:revision>
  <cp:lastPrinted>2018-02-28T15:30:00Z</cp:lastPrinted>
  <dcterms:created xsi:type="dcterms:W3CDTF">2020-06-05T10:52:00Z</dcterms:created>
  <dcterms:modified xsi:type="dcterms:W3CDTF">2020-07-22T10:40:00Z</dcterms:modified>
</cp:coreProperties>
</file>